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324A08">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2015</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B93281" w:rsidRPr="00B93281" w:rsidRDefault="00B93281">
                  <w:pPr>
                    <w:pStyle w:val="NoSpacing"/>
                    <w:rPr>
                      <w:sz w:val="64"/>
                      <w:szCs w:val="64"/>
                    </w:rPr>
                  </w:pPr>
                  <w:r w:rsidRPr="00B93281">
                    <w:rPr>
                      <w:sz w:val="64"/>
                      <w:szCs w:val="64"/>
                    </w:rPr>
                    <w:t xml:space="preserve">AUDIT COMMITTEES </w:t>
                  </w:r>
                  <w:proofErr w:type="gramStart"/>
                  <w:r w:rsidRPr="00B93281">
                    <w:rPr>
                      <w:sz w:val="64"/>
                      <w:szCs w:val="64"/>
                    </w:rPr>
                    <w:t>–  INCREASED</w:t>
                  </w:r>
                  <w:proofErr w:type="gramEnd"/>
                  <w:r w:rsidRPr="00B93281">
                    <w:rPr>
                      <w:sz w:val="64"/>
                      <w:szCs w:val="64"/>
                    </w:rPr>
                    <w:t xml:space="preserve"> EXPECTATIONS</w:t>
                  </w:r>
                </w:p>
                <w:p w:rsidR="00696AB3" w:rsidRPr="00696AB3" w:rsidRDefault="00B93281">
                  <w:pPr>
                    <w:pStyle w:val="NoSpacing"/>
                    <w:rPr>
                      <w:color w:val="FFFFFF"/>
                      <w:sz w:val="40"/>
                      <w:szCs w:val="40"/>
                    </w:rPr>
                  </w:pPr>
                  <w:r>
                    <w:rPr>
                      <w:sz w:val="40"/>
                      <w:szCs w:val="40"/>
                    </w:rPr>
                    <w:t>17</w:t>
                  </w:r>
                  <w:r w:rsidR="00FB169B">
                    <w:rPr>
                      <w:sz w:val="40"/>
                      <w:szCs w:val="40"/>
                    </w:rPr>
                    <w:t xml:space="preserve"> </w:t>
                  </w:r>
                  <w:r>
                    <w:rPr>
                      <w:sz w:val="40"/>
                      <w:szCs w:val="40"/>
                    </w:rPr>
                    <w:t>Nov</w:t>
                  </w:r>
                  <w:r w:rsidR="00FB169B">
                    <w:rPr>
                      <w:sz w:val="40"/>
                      <w:szCs w:val="40"/>
                    </w:rPr>
                    <w:t xml:space="preserve"> / 1</w:t>
                  </w:r>
                  <w:r>
                    <w:rPr>
                      <w:sz w:val="40"/>
                      <w:szCs w:val="40"/>
                    </w:rPr>
                    <w:t>7</w:t>
                  </w:r>
                  <w:r w:rsidR="00FB169B">
                    <w:rPr>
                      <w:sz w:val="40"/>
                      <w:szCs w:val="40"/>
                    </w:rPr>
                    <w:t xml:space="preserve"> </w:t>
                  </w:r>
                  <w:r>
                    <w:rPr>
                      <w:sz w:val="40"/>
                      <w:szCs w:val="40"/>
                    </w:rPr>
                    <w:t>Dec</w:t>
                  </w:r>
                </w:p>
                <w:p w:rsidR="00696AB3" w:rsidRPr="00696AB3" w:rsidRDefault="00696AB3">
                  <w:pPr>
                    <w:pStyle w:val="NoSpacing"/>
                    <w:rPr>
                      <w:color w:val="FFFFFF"/>
                    </w:rPr>
                  </w:pPr>
                </w:p>
                <w:p w:rsidR="00696AB3" w:rsidRPr="00696AB3" w:rsidRDefault="00B93281" w:rsidP="00B93281">
                  <w:pPr>
                    <w:pStyle w:val="NoSpacing"/>
                    <w:rPr>
                      <w:color w:val="FFFFFF"/>
                    </w:rPr>
                  </w:pPr>
                  <w:r w:rsidRPr="00B93281">
                    <w:t>Audit Committees are required to peruse all quarterly reports and annual audited accounts before they are recommended to the Board for public dissemination. They are also required to recommend to the board on all matters of conflicts of interest and related party transactions. Much power is given to audit committees and much is expected of them. Audit committees also deal with the external auditors and the internal auditors - two important cornerstones of corporate governance.</w:t>
                  </w:r>
                </w:p>
              </w:txbxContent>
            </v:textbox>
          </v:rect>
        </w:pict>
      </w:r>
    </w:p>
    <w:p w:rsidR="00696AB3" w:rsidRDefault="00696AB3"/>
    <w:p w:rsidR="00D35263" w:rsidRDefault="00324A08">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324A08">
      <w:r w:rsidRPr="00324A08">
        <w:rPr>
          <w:rFonts w:asciiTheme="minorHAnsi" w:hAnsiTheme="minorHAnsi"/>
          <w:noProof/>
          <w:lang w:val="en-US"/>
        </w:rPr>
        <w:lastRenderedPageBreak/>
        <w:pict>
          <v:roundrect id="_x0000_s1048" style="position:absolute;margin-left:253.4pt;margin-top:8.65pt;width:150.55pt;height:23.4pt;z-index:-251654144"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WHO SHOULD ATTEND</w:t>
                  </w:r>
                </w:p>
              </w:txbxContent>
            </v:textbox>
          </v:roundrect>
        </w:pict>
      </w:r>
      <w:r w:rsidRPr="00324A08">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3F6F40" w:rsidRPr="00BC0460" w:rsidRDefault="00B93281" w:rsidP="00683D68">
      <w:pPr>
        <w:jc w:val="both"/>
        <w:rPr>
          <w:rFonts w:asciiTheme="minorHAnsi" w:hAnsiTheme="minorHAnsi"/>
          <w:sz w:val="20"/>
        </w:rPr>
      </w:pPr>
      <w:r w:rsidRPr="00BC0460">
        <w:rPr>
          <w:rFonts w:asciiTheme="minorHAnsi" w:hAnsiTheme="minorHAnsi"/>
          <w:sz w:val="20"/>
        </w:rPr>
        <w:t>Audit Committees are required to peruse all quarterly reports and annual audited accounts before they are recommended to the Board for public dissemination. They are also required to recommend to the board on all matters of conflicts of interest and related party transactions. Much power is given to audit committees and much is expected of them. Audit committees also deal with the external auditors and the internal auditors - two important cornerstones of corporate governance.</w:t>
      </w:r>
    </w:p>
    <w:p w:rsidR="003F6F40" w:rsidRPr="00B26841" w:rsidRDefault="00324A08" w:rsidP="003F6F40">
      <w:pPr>
        <w:rPr>
          <w:rFonts w:asciiTheme="minorHAnsi" w:hAnsiTheme="minorHAnsi"/>
        </w:rPr>
      </w:pPr>
      <w:r>
        <w:rPr>
          <w:rFonts w:asciiTheme="minorHAnsi" w:hAnsiTheme="minorHAnsi"/>
          <w:noProof/>
          <w:lang w:val="en-US"/>
        </w:rPr>
        <w:pict>
          <v:roundrect id="_x0000_s1049" style="position:absolute;margin-left:-6.8pt;margin-top:8.7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B93281" w:rsidRPr="00BC0460" w:rsidRDefault="00B93281" w:rsidP="001969FF">
      <w:pPr>
        <w:pStyle w:val="ListParagraph"/>
        <w:numPr>
          <w:ilvl w:val="0"/>
          <w:numId w:val="10"/>
        </w:numPr>
        <w:spacing w:after="0" w:line="240" w:lineRule="auto"/>
        <w:ind w:left="284" w:hanging="284"/>
        <w:jc w:val="both"/>
        <w:rPr>
          <w:rFonts w:asciiTheme="minorHAnsi" w:hAnsiTheme="minorHAnsi"/>
          <w:sz w:val="20"/>
          <w:szCs w:val="20"/>
        </w:rPr>
      </w:pPr>
      <w:r w:rsidRPr="00BC0460">
        <w:rPr>
          <w:rFonts w:asciiTheme="minorHAnsi" w:hAnsiTheme="minorHAnsi"/>
          <w:sz w:val="20"/>
          <w:szCs w:val="20"/>
        </w:rPr>
        <w:t>to appreciate the regulatory expectations of audit committees especially in the context of the recently released CG Guide 2013 by Bursa Malaysia,</w:t>
      </w:r>
    </w:p>
    <w:p w:rsidR="00B93281" w:rsidRPr="00BC0460" w:rsidRDefault="00B93281" w:rsidP="001969FF">
      <w:pPr>
        <w:pStyle w:val="ListParagraph"/>
        <w:numPr>
          <w:ilvl w:val="0"/>
          <w:numId w:val="10"/>
        </w:numPr>
        <w:spacing w:after="0" w:line="240" w:lineRule="auto"/>
        <w:ind w:left="284" w:hanging="284"/>
        <w:jc w:val="both"/>
        <w:rPr>
          <w:rFonts w:asciiTheme="minorHAnsi" w:hAnsiTheme="minorHAnsi"/>
          <w:sz w:val="20"/>
          <w:szCs w:val="20"/>
        </w:rPr>
      </w:pPr>
      <w:r w:rsidRPr="00BC0460">
        <w:rPr>
          <w:rFonts w:asciiTheme="minorHAnsi" w:hAnsiTheme="minorHAnsi"/>
          <w:sz w:val="20"/>
          <w:szCs w:val="20"/>
        </w:rPr>
        <w:t>to understand the terms of reference, rights, authority and responsibilities of audit committees,</w:t>
      </w:r>
    </w:p>
    <w:p w:rsidR="00B93281" w:rsidRPr="00BC0460" w:rsidRDefault="00B93281" w:rsidP="001969FF">
      <w:pPr>
        <w:pStyle w:val="ListParagraph"/>
        <w:numPr>
          <w:ilvl w:val="0"/>
          <w:numId w:val="10"/>
        </w:numPr>
        <w:spacing w:after="0" w:line="240" w:lineRule="auto"/>
        <w:ind w:left="284" w:hanging="284"/>
        <w:jc w:val="both"/>
        <w:rPr>
          <w:rFonts w:asciiTheme="minorHAnsi" w:hAnsiTheme="minorHAnsi"/>
          <w:sz w:val="20"/>
          <w:szCs w:val="20"/>
        </w:rPr>
      </w:pPr>
      <w:r w:rsidRPr="00BC0460">
        <w:rPr>
          <w:rFonts w:asciiTheme="minorHAnsi" w:hAnsiTheme="minorHAnsi"/>
          <w:sz w:val="20"/>
          <w:szCs w:val="20"/>
        </w:rPr>
        <w:t>to appreciate their relationship with external auditors and internal auditors and how they can use these auditors to better discharge their responsibilities,</w:t>
      </w:r>
    </w:p>
    <w:p w:rsidR="00B93281" w:rsidRPr="00BC0460" w:rsidRDefault="00B93281" w:rsidP="001969FF">
      <w:pPr>
        <w:pStyle w:val="ListParagraph"/>
        <w:numPr>
          <w:ilvl w:val="0"/>
          <w:numId w:val="10"/>
        </w:numPr>
        <w:spacing w:after="0" w:line="240" w:lineRule="auto"/>
        <w:ind w:left="284" w:hanging="284"/>
        <w:jc w:val="both"/>
        <w:rPr>
          <w:rFonts w:asciiTheme="minorHAnsi" w:hAnsiTheme="minorHAnsi"/>
          <w:sz w:val="20"/>
          <w:szCs w:val="20"/>
        </w:rPr>
      </w:pPr>
      <w:r w:rsidRPr="00BC0460">
        <w:rPr>
          <w:rFonts w:asciiTheme="minorHAnsi" w:hAnsiTheme="minorHAnsi"/>
          <w:sz w:val="20"/>
          <w:szCs w:val="20"/>
        </w:rPr>
        <w:t>to be able to better conduct audit committee meetings,</w:t>
      </w:r>
    </w:p>
    <w:p w:rsidR="00B93281" w:rsidRPr="00BC0460" w:rsidRDefault="00B93281" w:rsidP="001969FF">
      <w:pPr>
        <w:pStyle w:val="ListParagraph"/>
        <w:numPr>
          <w:ilvl w:val="0"/>
          <w:numId w:val="10"/>
        </w:numPr>
        <w:spacing w:after="0" w:line="240" w:lineRule="auto"/>
        <w:ind w:left="284" w:hanging="284"/>
        <w:jc w:val="both"/>
        <w:rPr>
          <w:rFonts w:asciiTheme="minorHAnsi" w:hAnsiTheme="minorHAnsi"/>
          <w:sz w:val="20"/>
          <w:szCs w:val="20"/>
        </w:rPr>
      </w:pPr>
      <w:r w:rsidRPr="00BC0460">
        <w:rPr>
          <w:rFonts w:asciiTheme="minorHAnsi" w:hAnsiTheme="minorHAnsi"/>
          <w:sz w:val="20"/>
          <w:szCs w:val="20"/>
        </w:rPr>
        <w:t>to understand the regulatory assessment of audit committees and its members, and</w:t>
      </w:r>
    </w:p>
    <w:p w:rsidR="00F928D5" w:rsidRPr="00B93281" w:rsidRDefault="00324A08" w:rsidP="001969FF">
      <w:pPr>
        <w:pStyle w:val="ListParagraph"/>
        <w:numPr>
          <w:ilvl w:val="0"/>
          <w:numId w:val="10"/>
        </w:numPr>
        <w:spacing w:after="0" w:line="240" w:lineRule="auto"/>
        <w:ind w:left="284" w:hanging="284"/>
        <w:jc w:val="both"/>
        <w:rPr>
          <w:rFonts w:asciiTheme="minorHAnsi" w:hAnsiTheme="minorHAnsi"/>
        </w:rPr>
      </w:pPr>
      <w:r w:rsidRPr="00324A08">
        <w:rPr>
          <w:rFonts w:asciiTheme="minorHAnsi" w:hAnsiTheme="minorHAnsi"/>
          <w:noProof/>
          <w:sz w:val="20"/>
          <w:szCs w:val="20"/>
          <w:lang w:eastAsia="en-US"/>
        </w:rPr>
        <w:pict>
          <v:roundrect id="_x0000_s1127" style="position:absolute;left:0;text-align:left;margin-left:-6.8pt;margin-top:36.65pt;width:150.55pt;height:23.4pt;z-index:-251574272" arcsize="10923f">
            <v:shadow on="t" offset="3pt" offset2="2pt"/>
            <v:textbox style="mso-next-textbox:#_x0000_s1127">
              <w:txbxContent>
                <w:p w:rsidR="00B93281" w:rsidRPr="00B93281" w:rsidRDefault="00B93281" w:rsidP="00B93281">
                  <w:pPr>
                    <w:rPr>
                      <w:rFonts w:asciiTheme="minorHAnsi" w:hAnsiTheme="minorHAnsi"/>
                    </w:rPr>
                  </w:pPr>
                  <w:r w:rsidRPr="00B93281">
                    <w:rPr>
                      <w:rFonts w:asciiTheme="minorHAnsi" w:hAnsiTheme="minorHAnsi"/>
                    </w:rPr>
                    <w:t>COURSE OBJECTIVES</w:t>
                  </w:r>
                </w:p>
              </w:txbxContent>
            </v:textbox>
          </v:roundrect>
        </w:pict>
      </w:r>
      <w:proofErr w:type="gramStart"/>
      <w:r w:rsidR="00B93281" w:rsidRPr="00BC0460">
        <w:rPr>
          <w:rFonts w:asciiTheme="minorHAnsi" w:hAnsiTheme="minorHAnsi"/>
          <w:sz w:val="20"/>
          <w:szCs w:val="20"/>
        </w:rPr>
        <w:t>to</w:t>
      </w:r>
      <w:proofErr w:type="gramEnd"/>
      <w:r w:rsidR="00B93281" w:rsidRPr="00BC0460">
        <w:rPr>
          <w:rFonts w:asciiTheme="minorHAnsi" w:hAnsiTheme="minorHAnsi"/>
          <w:sz w:val="20"/>
          <w:szCs w:val="20"/>
        </w:rPr>
        <w:t xml:space="preserve"> understand how to assess the external auditors and the internal auditors.</w:t>
      </w:r>
    </w:p>
    <w:p w:rsidR="00B26841" w:rsidRDefault="00B26841" w:rsidP="003F6F40">
      <w:pPr>
        <w:rPr>
          <w:rFonts w:asciiTheme="minorHAnsi" w:hAnsiTheme="minorHAnsi"/>
        </w:rPr>
      </w:pPr>
    </w:p>
    <w:p w:rsidR="00B93281" w:rsidRDefault="00B93281" w:rsidP="003F6F40">
      <w:pPr>
        <w:rPr>
          <w:rFonts w:asciiTheme="minorHAnsi" w:hAnsiTheme="minorHAnsi"/>
        </w:rPr>
      </w:pPr>
    </w:p>
    <w:p w:rsidR="001969FF" w:rsidRDefault="001969FF" w:rsidP="003F6F40">
      <w:pPr>
        <w:rPr>
          <w:rFonts w:asciiTheme="minorHAnsi" w:hAnsiTheme="minorHAnsi"/>
        </w:rPr>
      </w:pPr>
    </w:p>
    <w:p w:rsidR="00B93281" w:rsidRPr="001969FF" w:rsidRDefault="00B93281" w:rsidP="001969FF">
      <w:pPr>
        <w:pStyle w:val="ListParagraph"/>
        <w:numPr>
          <w:ilvl w:val="0"/>
          <w:numId w:val="10"/>
        </w:numPr>
        <w:spacing w:after="0" w:line="240" w:lineRule="auto"/>
        <w:ind w:left="284" w:hanging="284"/>
        <w:rPr>
          <w:rFonts w:asciiTheme="minorHAnsi" w:hAnsiTheme="minorHAnsi"/>
          <w:sz w:val="20"/>
          <w:szCs w:val="20"/>
        </w:rPr>
      </w:pPr>
      <w:r w:rsidRPr="001969FF">
        <w:rPr>
          <w:rFonts w:asciiTheme="minorHAnsi" w:hAnsiTheme="minorHAnsi"/>
          <w:sz w:val="20"/>
          <w:szCs w:val="20"/>
        </w:rPr>
        <w:t>Audit Committee Membership and Skill Sets</w:t>
      </w:r>
    </w:p>
    <w:p w:rsidR="00B93281" w:rsidRPr="001969FF" w:rsidRDefault="00B93281" w:rsidP="001969FF">
      <w:pPr>
        <w:pStyle w:val="ListParagraph"/>
        <w:numPr>
          <w:ilvl w:val="0"/>
          <w:numId w:val="10"/>
        </w:numPr>
        <w:spacing w:after="0" w:line="240" w:lineRule="auto"/>
        <w:ind w:left="284" w:hanging="284"/>
        <w:rPr>
          <w:rFonts w:asciiTheme="minorHAnsi" w:hAnsiTheme="minorHAnsi"/>
          <w:sz w:val="20"/>
          <w:szCs w:val="20"/>
        </w:rPr>
      </w:pPr>
      <w:r w:rsidRPr="001969FF">
        <w:rPr>
          <w:rFonts w:asciiTheme="minorHAnsi" w:hAnsiTheme="minorHAnsi"/>
          <w:sz w:val="20"/>
          <w:szCs w:val="20"/>
        </w:rPr>
        <w:t>Terms of Reference, Rights and Authority</w:t>
      </w:r>
    </w:p>
    <w:p w:rsidR="00B93281" w:rsidRPr="001969FF" w:rsidRDefault="00B93281" w:rsidP="001969FF">
      <w:pPr>
        <w:pStyle w:val="ListParagraph"/>
        <w:numPr>
          <w:ilvl w:val="0"/>
          <w:numId w:val="10"/>
        </w:numPr>
        <w:spacing w:after="0" w:line="240" w:lineRule="auto"/>
        <w:ind w:left="284" w:hanging="284"/>
        <w:rPr>
          <w:rFonts w:asciiTheme="minorHAnsi" w:hAnsiTheme="minorHAnsi"/>
          <w:sz w:val="20"/>
          <w:szCs w:val="20"/>
        </w:rPr>
      </w:pPr>
      <w:r w:rsidRPr="001969FF">
        <w:rPr>
          <w:rFonts w:asciiTheme="minorHAnsi" w:hAnsiTheme="minorHAnsi"/>
          <w:sz w:val="20"/>
          <w:szCs w:val="20"/>
        </w:rPr>
        <w:t>Committee Meetings and Agenda</w:t>
      </w:r>
    </w:p>
    <w:p w:rsidR="00B93281" w:rsidRPr="001969FF" w:rsidRDefault="00B93281" w:rsidP="001969FF">
      <w:pPr>
        <w:pStyle w:val="ListParagraph"/>
        <w:numPr>
          <w:ilvl w:val="0"/>
          <w:numId w:val="10"/>
        </w:numPr>
        <w:spacing w:after="0" w:line="240" w:lineRule="auto"/>
        <w:ind w:left="284" w:hanging="284"/>
        <w:rPr>
          <w:rFonts w:asciiTheme="minorHAnsi" w:hAnsiTheme="minorHAnsi"/>
          <w:sz w:val="20"/>
          <w:szCs w:val="20"/>
        </w:rPr>
      </w:pPr>
      <w:r w:rsidRPr="001969FF">
        <w:rPr>
          <w:rFonts w:asciiTheme="minorHAnsi" w:hAnsiTheme="minorHAnsi"/>
          <w:sz w:val="20"/>
          <w:szCs w:val="20"/>
        </w:rPr>
        <w:t>Audit Committee Relationships and Communication</w:t>
      </w:r>
    </w:p>
    <w:p w:rsidR="00B93281" w:rsidRPr="001969FF" w:rsidRDefault="00B93281" w:rsidP="001969FF">
      <w:pPr>
        <w:pStyle w:val="ListParagraph"/>
        <w:numPr>
          <w:ilvl w:val="0"/>
          <w:numId w:val="10"/>
        </w:numPr>
        <w:spacing w:after="0" w:line="240" w:lineRule="auto"/>
        <w:ind w:left="284" w:hanging="284"/>
        <w:rPr>
          <w:rFonts w:asciiTheme="minorHAnsi" w:hAnsiTheme="minorHAnsi"/>
          <w:sz w:val="20"/>
          <w:szCs w:val="20"/>
        </w:rPr>
      </w:pPr>
      <w:r w:rsidRPr="001969FF">
        <w:rPr>
          <w:rFonts w:asciiTheme="minorHAnsi" w:hAnsiTheme="minorHAnsi"/>
          <w:sz w:val="20"/>
          <w:szCs w:val="20"/>
        </w:rPr>
        <w:t>Induction and Continuing Education Programme</w:t>
      </w:r>
    </w:p>
    <w:p w:rsidR="00B93281" w:rsidRPr="001969FF" w:rsidRDefault="00B93281" w:rsidP="001969FF">
      <w:pPr>
        <w:pStyle w:val="ListParagraph"/>
        <w:numPr>
          <w:ilvl w:val="0"/>
          <w:numId w:val="10"/>
        </w:numPr>
        <w:spacing w:after="0" w:line="240" w:lineRule="auto"/>
        <w:ind w:left="284" w:hanging="284"/>
        <w:rPr>
          <w:rFonts w:asciiTheme="minorHAnsi" w:hAnsiTheme="minorHAnsi"/>
          <w:sz w:val="20"/>
          <w:szCs w:val="20"/>
        </w:rPr>
      </w:pPr>
      <w:r w:rsidRPr="001969FF">
        <w:rPr>
          <w:rFonts w:asciiTheme="minorHAnsi" w:hAnsiTheme="minorHAnsi"/>
          <w:sz w:val="20"/>
          <w:szCs w:val="20"/>
        </w:rPr>
        <w:t>Performance Evaluation</w:t>
      </w:r>
    </w:p>
    <w:p w:rsidR="00B93281" w:rsidRPr="001969FF" w:rsidRDefault="00B93281" w:rsidP="001969FF">
      <w:pPr>
        <w:pStyle w:val="ListParagraph"/>
        <w:numPr>
          <w:ilvl w:val="0"/>
          <w:numId w:val="10"/>
        </w:numPr>
        <w:spacing w:after="0" w:line="240" w:lineRule="auto"/>
        <w:ind w:left="284" w:hanging="284"/>
        <w:rPr>
          <w:rFonts w:asciiTheme="minorHAnsi" w:hAnsiTheme="minorHAnsi"/>
          <w:sz w:val="20"/>
          <w:szCs w:val="20"/>
        </w:rPr>
      </w:pPr>
      <w:r w:rsidRPr="001969FF">
        <w:rPr>
          <w:rFonts w:asciiTheme="minorHAnsi" w:hAnsiTheme="minorHAnsi"/>
          <w:sz w:val="20"/>
          <w:szCs w:val="20"/>
        </w:rPr>
        <w:t>Audit Committee and its Regulated Environment</w:t>
      </w:r>
    </w:p>
    <w:p w:rsidR="00B93281" w:rsidRPr="001969FF" w:rsidRDefault="00B93281" w:rsidP="001969FF">
      <w:pPr>
        <w:pStyle w:val="ListParagraph"/>
        <w:numPr>
          <w:ilvl w:val="0"/>
          <w:numId w:val="10"/>
        </w:numPr>
        <w:spacing w:after="0" w:line="240" w:lineRule="auto"/>
        <w:ind w:left="284" w:hanging="284"/>
        <w:rPr>
          <w:rFonts w:asciiTheme="minorHAnsi" w:hAnsiTheme="minorHAnsi"/>
          <w:sz w:val="20"/>
          <w:szCs w:val="20"/>
        </w:rPr>
      </w:pPr>
      <w:r w:rsidRPr="001969FF">
        <w:rPr>
          <w:rFonts w:asciiTheme="minorHAnsi" w:hAnsiTheme="minorHAnsi"/>
          <w:sz w:val="20"/>
          <w:szCs w:val="20"/>
        </w:rPr>
        <w:t>Key Responsibilities of the Committee</w:t>
      </w:r>
    </w:p>
    <w:p w:rsidR="00B93281" w:rsidRPr="001969FF" w:rsidRDefault="00B93281" w:rsidP="001969FF">
      <w:pPr>
        <w:pStyle w:val="ListParagraph"/>
        <w:numPr>
          <w:ilvl w:val="0"/>
          <w:numId w:val="10"/>
        </w:numPr>
        <w:spacing w:after="0" w:line="240" w:lineRule="auto"/>
        <w:ind w:left="284" w:hanging="284"/>
        <w:rPr>
          <w:rFonts w:asciiTheme="minorHAnsi" w:hAnsiTheme="minorHAnsi"/>
          <w:sz w:val="20"/>
          <w:szCs w:val="20"/>
        </w:rPr>
      </w:pPr>
      <w:r w:rsidRPr="001969FF">
        <w:rPr>
          <w:rFonts w:asciiTheme="minorHAnsi" w:hAnsiTheme="minorHAnsi"/>
          <w:sz w:val="20"/>
          <w:szCs w:val="20"/>
        </w:rPr>
        <w:t>Audit Committee Report</w:t>
      </w:r>
    </w:p>
    <w:p w:rsidR="00B93281" w:rsidRDefault="00B93281" w:rsidP="001969FF">
      <w:pPr>
        <w:pStyle w:val="ListParagraph"/>
        <w:numPr>
          <w:ilvl w:val="0"/>
          <w:numId w:val="10"/>
        </w:numPr>
        <w:spacing w:after="0" w:line="240" w:lineRule="auto"/>
        <w:ind w:left="284" w:hanging="284"/>
        <w:rPr>
          <w:rFonts w:asciiTheme="minorHAnsi" w:hAnsiTheme="minorHAnsi"/>
          <w:sz w:val="20"/>
          <w:szCs w:val="20"/>
        </w:rPr>
      </w:pPr>
      <w:r w:rsidRPr="001969FF">
        <w:rPr>
          <w:rFonts w:asciiTheme="minorHAnsi" w:hAnsiTheme="minorHAnsi"/>
          <w:sz w:val="20"/>
          <w:szCs w:val="20"/>
        </w:rPr>
        <w:t>Audit Committee Reporting Challenges</w:t>
      </w:r>
    </w:p>
    <w:p w:rsidR="005075DC" w:rsidRDefault="005075DC" w:rsidP="005075DC">
      <w:pPr>
        <w:rPr>
          <w:rFonts w:asciiTheme="minorHAnsi" w:hAnsiTheme="minorHAnsi"/>
          <w:sz w:val="20"/>
        </w:rPr>
      </w:pPr>
    </w:p>
    <w:p w:rsidR="005075DC" w:rsidRPr="005075DC" w:rsidRDefault="005075DC" w:rsidP="005075DC">
      <w:pPr>
        <w:rPr>
          <w:rFonts w:asciiTheme="minorHAnsi" w:hAnsiTheme="minorHAnsi"/>
          <w:sz w:val="20"/>
        </w:rPr>
      </w:pPr>
    </w:p>
    <w:p w:rsidR="00B93281" w:rsidRDefault="00B93281" w:rsidP="003F6F40">
      <w:pPr>
        <w:rPr>
          <w:rFonts w:asciiTheme="minorHAnsi" w:hAnsiTheme="minorHAnsi"/>
        </w:rPr>
      </w:pPr>
    </w:p>
    <w:p w:rsidR="00BC0460" w:rsidRDefault="00BC0460" w:rsidP="003F6F40">
      <w:pPr>
        <w:rPr>
          <w:rFonts w:asciiTheme="minorHAnsi" w:hAnsiTheme="minorHAnsi"/>
        </w:rPr>
      </w:pPr>
    </w:p>
    <w:p w:rsidR="003F6F40" w:rsidRPr="00BC0460" w:rsidRDefault="00BC0460" w:rsidP="00B374FE">
      <w:pPr>
        <w:rPr>
          <w:rFonts w:asciiTheme="minorHAnsi" w:hAnsiTheme="minorHAnsi"/>
          <w:sz w:val="20"/>
        </w:rPr>
      </w:pPr>
      <w:r>
        <w:rPr>
          <w:rFonts w:asciiTheme="minorHAnsi" w:hAnsiTheme="minorHAnsi"/>
          <w:sz w:val="20"/>
        </w:rPr>
        <w:t>C</w:t>
      </w:r>
      <w:r w:rsidR="00B374FE" w:rsidRPr="00BC0460">
        <w:rPr>
          <w:rFonts w:asciiTheme="minorHAnsi" w:hAnsiTheme="minorHAnsi"/>
          <w:sz w:val="20"/>
        </w:rPr>
        <w:t>ompany Directors / Financial Controllers &amp; Finance Managers / Accountants &amp; Auditors Company</w:t>
      </w:r>
      <w:r w:rsidR="001969FF">
        <w:rPr>
          <w:rFonts w:asciiTheme="minorHAnsi" w:hAnsiTheme="minorHAnsi"/>
          <w:sz w:val="20"/>
        </w:rPr>
        <w:t xml:space="preserve"> </w:t>
      </w:r>
      <w:r w:rsidR="00B374FE" w:rsidRPr="00BC0460">
        <w:rPr>
          <w:rFonts w:asciiTheme="minorHAnsi" w:hAnsiTheme="minorHAnsi"/>
          <w:sz w:val="20"/>
        </w:rPr>
        <w:t>Secretaries / Academicians / Fund &amp; Investment</w:t>
      </w:r>
      <w:r w:rsidR="001969FF">
        <w:rPr>
          <w:rFonts w:asciiTheme="minorHAnsi" w:hAnsiTheme="minorHAnsi"/>
          <w:sz w:val="20"/>
        </w:rPr>
        <w:t xml:space="preserve"> </w:t>
      </w:r>
      <w:r w:rsidR="00B374FE" w:rsidRPr="00BC0460">
        <w:rPr>
          <w:rFonts w:asciiTheme="minorHAnsi" w:hAnsiTheme="minorHAnsi"/>
          <w:sz w:val="20"/>
        </w:rPr>
        <w:t>Managers</w:t>
      </w:r>
    </w:p>
    <w:p w:rsidR="00B374FE" w:rsidRDefault="00324A08" w:rsidP="003F6F40">
      <w:pPr>
        <w:rPr>
          <w:rFonts w:asciiTheme="minorHAnsi" w:hAnsiTheme="minorHAnsi"/>
        </w:rPr>
      </w:pPr>
      <w:r>
        <w:rPr>
          <w:rFonts w:asciiTheme="minorHAnsi" w:hAnsiTheme="minorHAnsi"/>
          <w:noProof/>
          <w:lang w:val="en-US"/>
        </w:rPr>
        <w:pict>
          <v:roundrect id="_x0000_s1050" style="position:absolute;margin-left:-4.4pt;margin-top:7.85pt;width:150.55pt;height:23.4pt;z-index:-251652096" arcsize="10923f">
            <v:shadow on="t" offset="3pt" offset2="2pt"/>
            <v:textbox>
              <w:txbxContent>
                <w:p w:rsidR="00B374FE" w:rsidRPr="00B374FE" w:rsidRDefault="00B374FE" w:rsidP="00B374FE">
                  <w:pPr>
                    <w:rPr>
                      <w:rFonts w:asciiTheme="minorHAnsi" w:hAnsiTheme="minorHAnsi"/>
                    </w:rPr>
                  </w:pPr>
                  <w:r w:rsidRPr="00B374FE">
                    <w:rPr>
                      <w:rFonts w:asciiTheme="minorHAnsi" w:hAnsiTheme="minorHAnsi"/>
                    </w:rPr>
                    <w:t>METHODOLOGY OF DELIVERY</w:t>
                  </w:r>
                </w:p>
              </w:txbxContent>
            </v:textbox>
          </v:roundrect>
        </w:pict>
      </w:r>
    </w:p>
    <w:p w:rsidR="00B374FE" w:rsidRDefault="00B374FE" w:rsidP="003F6F40">
      <w:pPr>
        <w:rPr>
          <w:rFonts w:asciiTheme="minorHAnsi" w:hAnsiTheme="minorHAnsi"/>
        </w:rPr>
      </w:pPr>
    </w:p>
    <w:p w:rsidR="003F6F40" w:rsidRPr="00B26841" w:rsidRDefault="003F6F40" w:rsidP="003F6F40">
      <w:pPr>
        <w:rPr>
          <w:rFonts w:asciiTheme="minorHAnsi" w:hAnsiTheme="minorHAnsi"/>
        </w:rPr>
      </w:pPr>
    </w:p>
    <w:p w:rsidR="00B26841" w:rsidRPr="00BC0460" w:rsidRDefault="003F6F40">
      <w:pPr>
        <w:rPr>
          <w:rFonts w:asciiTheme="minorHAnsi" w:hAnsiTheme="minorHAnsi"/>
          <w:sz w:val="20"/>
        </w:rPr>
      </w:pPr>
      <w:r w:rsidRPr="00BC0460">
        <w:rPr>
          <w:rFonts w:asciiTheme="minorHAnsi" w:hAnsiTheme="minorHAnsi"/>
          <w:sz w:val="20"/>
        </w:rPr>
        <w:t>Lectures facilitated by PowerPoint presentat</w:t>
      </w:r>
      <w:r w:rsidR="00B26841" w:rsidRPr="00BC0460">
        <w:rPr>
          <w:rFonts w:asciiTheme="minorHAnsi" w:hAnsiTheme="minorHAnsi"/>
          <w:sz w:val="20"/>
        </w:rPr>
        <w:t>ion and case studies discussion</w:t>
      </w:r>
    </w:p>
    <w:p w:rsidR="00B26841" w:rsidRDefault="00324A08">
      <w:pPr>
        <w:rPr>
          <w:rFonts w:asciiTheme="minorHAnsi" w:hAnsiTheme="minorHAnsi"/>
        </w:rPr>
      </w:pPr>
      <w:r>
        <w:rPr>
          <w:rFonts w:asciiTheme="minorHAnsi" w:hAnsiTheme="minorHAnsi"/>
          <w:noProof/>
          <w:lang w:val="en-US"/>
        </w:rPr>
        <w:pict>
          <v:roundrect id="_x0000_s1051" style="position:absolute;margin-left:-6.05pt;margin-top:8.7pt;width:150.55pt;height:23.4pt;z-index:-251651072"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374FE" w:rsidRDefault="00B374FE">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FB169B" w:rsidP="00B374FE">
            <w:pPr>
              <w:ind w:right="308"/>
              <w:jc w:val="both"/>
              <w:rPr>
                <w:rFonts w:asciiTheme="minorHAnsi" w:hAnsiTheme="minorHAnsi" w:cs="Segoe UI Semibold"/>
                <w:sz w:val="20"/>
              </w:rPr>
            </w:pPr>
            <w:r>
              <w:rPr>
                <w:rFonts w:asciiTheme="minorHAnsi" w:hAnsiTheme="minorHAnsi" w:cs="Segoe UI Semibold"/>
                <w:sz w:val="20"/>
              </w:rPr>
              <w:t>1</w:t>
            </w:r>
            <w:r w:rsidR="00B374FE">
              <w:rPr>
                <w:rFonts w:asciiTheme="minorHAnsi" w:hAnsiTheme="minorHAnsi" w:cs="Segoe UI Semibold"/>
                <w:sz w:val="20"/>
              </w:rPr>
              <w:t>7</w:t>
            </w:r>
            <w:r>
              <w:rPr>
                <w:rFonts w:asciiTheme="minorHAnsi" w:hAnsiTheme="minorHAnsi" w:cs="Segoe UI Semibold"/>
                <w:sz w:val="20"/>
              </w:rPr>
              <w:t xml:space="preserve"> Nov/ 1</w:t>
            </w:r>
            <w:r w:rsidR="00B374FE">
              <w:rPr>
                <w:rFonts w:asciiTheme="minorHAnsi" w:hAnsiTheme="minorHAnsi" w:cs="Segoe UI Semibold"/>
                <w:sz w:val="20"/>
              </w:rPr>
              <w:t>7</w:t>
            </w:r>
            <w:r>
              <w:rPr>
                <w:rFonts w:asciiTheme="minorHAnsi" w:hAnsiTheme="minorHAnsi" w:cs="Segoe UI Semibold"/>
                <w:sz w:val="20"/>
              </w:rPr>
              <w:t xml:space="preserve"> Dec</w:t>
            </w:r>
            <w:r w:rsidR="006807E9">
              <w:rPr>
                <w:rFonts w:asciiTheme="minorHAnsi" w:hAnsiTheme="minorHAnsi" w:cs="Segoe UI Semibold"/>
                <w:sz w:val="20"/>
              </w:rPr>
              <w:t xml:space="preserve"> </w:t>
            </w:r>
            <w:r w:rsidR="00D90843" w:rsidRPr="00D90843">
              <w:rPr>
                <w:rFonts w:asciiTheme="minorHAnsi" w:hAnsiTheme="minorHAnsi" w:cs="Segoe UI Semibold"/>
                <w:sz w:val="20"/>
              </w:rPr>
              <w:t>2015</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B374FE" w:rsidP="00B374FE">
            <w:pPr>
              <w:ind w:right="308"/>
              <w:jc w:val="both"/>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1969FF" w:rsidP="00D102CC">
            <w:pPr>
              <w:ind w:right="308"/>
              <w:jc w:val="both"/>
              <w:rPr>
                <w:rFonts w:asciiTheme="minorHAnsi" w:hAnsiTheme="minorHAnsi" w:cs="Segoe UI Semibold"/>
                <w:sz w:val="20"/>
              </w:rPr>
            </w:pPr>
            <w:r w:rsidRPr="001969FF">
              <w:rPr>
                <w:rFonts w:asciiTheme="minorHAnsi" w:hAnsiTheme="minorHAnsi" w:cs="Segoe UI Semibold"/>
                <w:sz w:val="20"/>
              </w:rPr>
              <w:t>Seri Pacific Hotel Kuala Lumpur</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1969FF">
            <w:pPr>
              <w:ind w:right="308"/>
              <w:jc w:val="both"/>
              <w:rPr>
                <w:rFonts w:asciiTheme="minorHAnsi" w:hAnsiTheme="minorHAnsi" w:cs="Segoe UI Semibold"/>
                <w:sz w:val="20"/>
              </w:rPr>
            </w:pPr>
            <w:r w:rsidRPr="00D90843">
              <w:rPr>
                <w:rFonts w:asciiTheme="minorHAnsi" w:hAnsiTheme="minorHAnsi" w:cs="Segoe UI Semibold"/>
                <w:sz w:val="20"/>
              </w:rPr>
              <w:t>RM</w:t>
            </w:r>
            <w:r w:rsidR="001969FF">
              <w:rPr>
                <w:rFonts w:asciiTheme="minorHAnsi" w:hAnsiTheme="minorHAnsi" w:cs="Segoe UI Semibold"/>
                <w:sz w:val="20"/>
              </w:rPr>
              <w:t>932</w:t>
            </w:r>
            <w:r w:rsidRPr="00D90843">
              <w:rPr>
                <w:rFonts w:asciiTheme="minorHAnsi" w:hAnsiTheme="minorHAnsi" w:cs="Segoe UI Semibold"/>
                <w:sz w:val="20"/>
              </w:rPr>
              <w:t>.</w:t>
            </w:r>
            <w:r w:rsidR="001969FF">
              <w:rPr>
                <w:rFonts w:asciiTheme="minorHAnsi" w:hAnsiTheme="minorHAnsi" w:cs="Segoe UI Semibold"/>
                <w:sz w:val="20"/>
              </w:rPr>
              <w:t>8</w:t>
            </w:r>
            <w:r w:rsidRPr="00D90843">
              <w:rPr>
                <w:rFonts w:asciiTheme="minorHAnsi" w:hAnsiTheme="minorHAnsi" w:cs="Segoe UI Semibold"/>
                <w:sz w:val="20"/>
              </w:rPr>
              <w:t xml:space="preserve">0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324A08">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2.35pt;width:1in;height:55.85pt;z-index:251657216"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BC0460"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Pr>
                      <w:rFonts w:ascii="Century Gothic" w:hAnsi="Century Gothic"/>
                      <w:b/>
                      <w:color w:val="FFFFFF"/>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324A08">
      <w:pPr>
        <w:rPr>
          <w:rFonts w:asciiTheme="minorHAnsi" w:hAnsiTheme="minorHAnsi"/>
        </w:rPr>
      </w:pPr>
      <w:r>
        <w:rPr>
          <w:rFonts w:asciiTheme="minorHAnsi" w:hAnsiTheme="minorHAnsi"/>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6.55pt;margin-top:3.7pt;width:258.75pt;height:82.5pt;z-index:-251586560" filled="t" fillcolor="#ffb9b9">
            <v:fill opacity="29491f"/>
          </v:shape>
        </w:pict>
      </w:r>
    </w:p>
    <w:p w:rsidR="00F928D5" w:rsidRPr="00BC0460" w:rsidRDefault="003954D3" w:rsidP="006479E6">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928D5" w:rsidRDefault="00F928D5">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693074" w:rsidRDefault="00693074">
      <w:pPr>
        <w:rPr>
          <w:rFonts w:asciiTheme="minorHAnsi" w:hAnsiTheme="minorHAnsi"/>
        </w:rPr>
      </w:pPr>
    </w:p>
    <w:p w:rsidR="00693074" w:rsidRPr="00B26841" w:rsidRDefault="00693074">
      <w:pPr>
        <w:rPr>
          <w:rFonts w:asciiTheme="minorHAnsi" w:hAnsiTheme="minorHAnsi"/>
        </w:rPr>
        <w:sectPr w:rsidR="00693074" w:rsidRPr="00B26841" w:rsidSect="00800675">
          <w:type w:val="continuous"/>
          <w:pgSz w:w="11906" w:h="16838" w:code="9"/>
          <w:pgMar w:top="1440" w:right="1080" w:bottom="1440" w:left="1080" w:header="0" w:footer="0" w:gutter="0"/>
          <w:cols w:num="2" w:sep="1" w:space="567"/>
          <w:titlePg/>
          <w:docGrid w:linePitch="299"/>
        </w:sectPr>
      </w:pPr>
    </w:p>
    <w:p w:rsidR="003F6F40" w:rsidRDefault="00324A08">
      <w:r w:rsidRPr="00324A08">
        <w:rPr>
          <w:rFonts w:asciiTheme="minorHAnsi" w:hAnsiTheme="minorHAnsi"/>
          <w:noProof/>
          <w:lang w:val="en-US"/>
        </w:rPr>
        <w:lastRenderedPageBreak/>
        <w:pict>
          <v:roundrect id="_x0000_s1110" style="position:absolute;margin-left:-60pt;margin-top:1.35pt;width:538.5pt;height:149.65pt;z-index:-251665410" arcsize="10923f" fillcolor="#f2f2f2 [3052]" stroked="f"/>
        </w:pict>
      </w:r>
      <w:r w:rsidRPr="00324A08">
        <w:rPr>
          <w:rFonts w:asciiTheme="minorHAnsi" w:hAnsiTheme="minorHAnsi"/>
          <w:noProof/>
          <w:lang w:val="en-US"/>
        </w:rPr>
        <w:pict>
          <v:roundrect id="_x0000_s1052" style="position:absolute;margin-left:-42.8pt;margin-top:7.25pt;width:150.55pt;height:23.4pt;z-index:-251650048" arcsize="10923f">
            <v:shadow on="t" offset="3pt" offset2="2pt"/>
            <v:textbox>
              <w:txbxContent>
                <w:p w:rsidR="00BC0460" w:rsidRDefault="00BC0460"/>
              </w:txbxContent>
            </v:textbox>
          </v:roundrect>
        </w:pict>
      </w:r>
    </w:p>
    <w:p w:rsidR="00BC0460" w:rsidRDefault="00BC0460" w:rsidP="00BC0460">
      <w:pPr>
        <w:ind w:left="-709"/>
        <w:rPr>
          <w:rFonts w:asciiTheme="minorHAnsi" w:hAnsiTheme="minorHAnsi"/>
        </w:rPr>
        <w:sectPr w:rsidR="00BC0460" w:rsidSect="00800675">
          <w:type w:val="continuous"/>
          <w:pgSz w:w="11906" w:h="16838" w:code="9"/>
          <w:pgMar w:top="806" w:right="922" w:bottom="900" w:left="1800" w:header="0" w:footer="0" w:gutter="0"/>
          <w:cols w:space="720"/>
          <w:titlePg/>
          <w:docGrid w:linePitch="299"/>
        </w:sectPr>
      </w:pPr>
      <w:r w:rsidRPr="00D90843">
        <w:rPr>
          <w:rFonts w:asciiTheme="minorHAnsi" w:hAnsiTheme="minorHAnsi"/>
        </w:rPr>
        <w:t>PRESENTER’S PROFILE</w:t>
      </w:r>
    </w:p>
    <w:p w:rsidR="00BC0460" w:rsidRDefault="00BC0460" w:rsidP="00BC0460">
      <w:pPr>
        <w:jc w:val="both"/>
        <w:rPr>
          <w:rFonts w:asciiTheme="minorHAnsi" w:hAnsiTheme="minorHAnsi"/>
          <w:sz w:val="20"/>
        </w:rPr>
        <w:sectPr w:rsidR="00BC0460" w:rsidSect="00800675">
          <w:type w:val="continuous"/>
          <w:pgSz w:w="11906" w:h="16838" w:code="9"/>
          <w:pgMar w:top="806" w:right="922" w:bottom="900" w:left="1800" w:header="0" w:footer="0" w:gutter="0"/>
          <w:cols w:num="2" w:space="284"/>
          <w:titlePg/>
          <w:docGrid w:linePitch="299"/>
        </w:sectPr>
      </w:pPr>
    </w:p>
    <w:p w:rsidR="001969FF" w:rsidRPr="001969FF" w:rsidRDefault="001969FF" w:rsidP="001969FF">
      <w:pPr>
        <w:ind w:left="-709"/>
        <w:rPr>
          <w:rFonts w:asciiTheme="minorHAnsi" w:hAnsiTheme="minorHAnsi"/>
          <w:b/>
          <w:sz w:val="20"/>
        </w:rPr>
      </w:pPr>
      <w:r w:rsidRPr="001969FF">
        <w:rPr>
          <w:rFonts w:asciiTheme="minorHAnsi" w:hAnsiTheme="minorHAnsi"/>
          <w:b/>
          <w:sz w:val="20"/>
        </w:rPr>
        <w:lastRenderedPageBreak/>
        <w:t>MR. DEVANESAN EVANSON</w:t>
      </w:r>
    </w:p>
    <w:p w:rsidR="00D90843" w:rsidRPr="00D90843" w:rsidRDefault="001969FF" w:rsidP="001969FF">
      <w:pPr>
        <w:ind w:left="-709"/>
        <w:rPr>
          <w:rFonts w:asciiTheme="minorHAnsi" w:hAnsiTheme="minorHAnsi"/>
        </w:rPr>
      </w:pPr>
      <w:r w:rsidRPr="001969FF">
        <w:rPr>
          <w:rFonts w:asciiTheme="minorHAnsi" w:hAnsiTheme="minorHAnsi"/>
          <w:sz w:val="20"/>
        </w:rPr>
        <w:t xml:space="preserve">Mr. </w:t>
      </w:r>
      <w:proofErr w:type="spellStart"/>
      <w:r w:rsidRPr="001969FF">
        <w:rPr>
          <w:rFonts w:asciiTheme="minorHAnsi" w:hAnsiTheme="minorHAnsi"/>
          <w:sz w:val="20"/>
        </w:rPr>
        <w:t>Devanesan</w:t>
      </w:r>
      <w:proofErr w:type="spellEnd"/>
      <w:r w:rsidRPr="001969FF">
        <w:rPr>
          <w:rFonts w:asciiTheme="minorHAnsi" w:hAnsiTheme="minorHAnsi"/>
          <w:sz w:val="20"/>
        </w:rPr>
        <w:t xml:space="preserve"> </w:t>
      </w:r>
      <w:proofErr w:type="spellStart"/>
      <w:r w:rsidRPr="001969FF">
        <w:rPr>
          <w:rFonts w:asciiTheme="minorHAnsi" w:hAnsiTheme="minorHAnsi"/>
          <w:sz w:val="20"/>
        </w:rPr>
        <w:t>Evanson</w:t>
      </w:r>
      <w:proofErr w:type="spellEnd"/>
      <w:r w:rsidRPr="001969FF">
        <w:rPr>
          <w:rFonts w:asciiTheme="minorHAnsi" w:hAnsiTheme="minorHAnsi"/>
          <w:sz w:val="20"/>
        </w:rPr>
        <w:t>, who holds a LLB (</w:t>
      </w:r>
      <w:proofErr w:type="spellStart"/>
      <w:r w:rsidRPr="001969FF">
        <w:rPr>
          <w:rFonts w:asciiTheme="minorHAnsi" w:hAnsiTheme="minorHAnsi"/>
          <w:sz w:val="20"/>
        </w:rPr>
        <w:t>Hons</w:t>
      </w:r>
      <w:proofErr w:type="spellEnd"/>
      <w:r w:rsidRPr="001969FF">
        <w:rPr>
          <w:rFonts w:asciiTheme="minorHAnsi" w:hAnsiTheme="minorHAnsi"/>
          <w:sz w:val="20"/>
        </w:rPr>
        <w:t>), is a fellow member of the Association of Chartered Certified</w:t>
      </w:r>
      <w:r>
        <w:rPr>
          <w:rFonts w:asciiTheme="minorHAnsi" w:hAnsiTheme="minorHAnsi"/>
          <w:sz w:val="20"/>
        </w:rPr>
        <w:t xml:space="preserve"> </w:t>
      </w:r>
      <w:r w:rsidRPr="001969FF">
        <w:rPr>
          <w:rFonts w:asciiTheme="minorHAnsi" w:hAnsiTheme="minorHAnsi"/>
          <w:sz w:val="20"/>
        </w:rPr>
        <w:t>Accountants (FCCA) and past president of the Malaysian Advisory Committee of ACCA. He is also a member of the MIA</w:t>
      </w:r>
      <w:r>
        <w:rPr>
          <w:rFonts w:asciiTheme="minorHAnsi" w:hAnsiTheme="minorHAnsi"/>
          <w:sz w:val="20"/>
        </w:rPr>
        <w:t xml:space="preserve"> </w:t>
      </w:r>
      <w:r w:rsidRPr="001969FF">
        <w:rPr>
          <w:rFonts w:asciiTheme="minorHAnsi" w:hAnsiTheme="minorHAnsi"/>
          <w:sz w:val="20"/>
        </w:rPr>
        <w:t>and a past council member of MIA. He is a Governor with IIA Malaysia and a past president.</w:t>
      </w:r>
      <w:r>
        <w:rPr>
          <w:rFonts w:asciiTheme="minorHAnsi" w:hAnsiTheme="minorHAnsi"/>
          <w:sz w:val="20"/>
        </w:rPr>
        <w:t xml:space="preserve"> </w:t>
      </w:r>
      <w:r w:rsidRPr="001969FF">
        <w:rPr>
          <w:rFonts w:asciiTheme="minorHAnsi" w:hAnsiTheme="minorHAnsi"/>
          <w:sz w:val="20"/>
        </w:rPr>
        <w:t>He was with Bursa Malaysia for 18 years prior to his retirement in 2010. During this tenure, he was head of Internal Audit and Risk Management and Chief Regulatory Officer and Chief Market Operations Officer. Subsequent to his retirement, he was a Director at EY Advisory Services for 1.5 years.</w:t>
      </w:r>
      <w:r>
        <w:rPr>
          <w:rFonts w:asciiTheme="minorHAnsi" w:hAnsiTheme="minorHAnsi"/>
          <w:sz w:val="20"/>
        </w:rPr>
        <w:t xml:space="preserve"> </w:t>
      </w:r>
      <w:proofErr w:type="spellStart"/>
      <w:r w:rsidRPr="001969FF">
        <w:rPr>
          <w:rFonts w:asciiTheme="minorHAnsi" w:hAnsiTheme="minorHAnsi"/>
          <w:sz w:val="20"/>
        </w:rPr>
        <w:t>Devanesan</w:t>
      </w:r>
      <w:proofErr w:type="spellEnd"/>
      <w:r w:rsidRPr="001969FF">
        <w:rPr>
          <w:rFonts w:asciiTheme="minorHAnsi" w:hAnsiTheme="minorHAnsi"/>
          <w:sz w:val="20"/>
        </w:rPr>
        <w:t xml:space="preserve"> is currently a free-lance trainer in the areas of Risk, Controls, Governance, Internal Audit and Listing Requirements.</w:t>
      </w:r>
    </w:p>
    <w:p w:rsidR="003F6F40" w:rsidRDefault="003F6F40" w:rsidP="00D90843">
      <w:pPr>
        <w:rPr>
          <w:rFonts w:asciiTheme="minorHAnsi" w:hAnsiTheme="minorHAnsi"/>
        </w:rPr>
      </w:pPr>
    </w:p>
    <w:p w:rsidR="001969FF" w:rsidRDefault="001969FF" w:rsidP="00D90843">
      <w:pPr>
        <w:rPr>
          <w:rFonts w:asciiTheme="minorHAnsi" w:hAnsiTheme="minorHAnsi"/>
        </w:rPr>
        <w:sectPr w:rsidR="001969FF" w:rsidSect="001969FF">
          <w:type w:val="continuous"/>
          <w:pgSz w:w="11906" w:h="16838" w:code="9"/>
          <w:pgMar w:top="806" w:right="922" w:bottom="900" w:left="1800" w:header="0" w:footer="0" w:gutter="0"/>
          <w:cols w:space="284"/>
          <w:titlePg/>
          <w:docGrid w:linePitch="299"/>
        </w:sectPr>
      </w:pPr>
    </w:p>
    <w:p w:rsidR="00C97D66" w:rsidRDefault="00C97D66" w:rsidP="00D90843">
      <w:pPr>
        <w:rPr>
          <w:rFonts w:asciiTheme="minorHAnsi" w:hAnsiTheme="minorHAnsi"/>
        </w:rPr>
      </w:pPr>
    </w:p>
    <w:p w:rsidR="00D90843" w:rsidRDefault="00D90843">
      <w:pPr>
        <w:sectPr w:rsidR="00D90843" w:rsidSect="00800675">
          <w:type w:val="continuous"/>
          <w:pgSz w:w="11906" w:h="16838" w:code="9"/>
          <w:pgMar w:top="806" w:right="922" w:bottom="900" w:left="1800" w:header="0" w:footer="0" w:gutter="0"/>
          <w:cols w:num="2" w:space="284"/>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1969FF" w:rsidP="000D57B6">
      <w:pPr>
        <w:jc w:val="center"/>
        <w:rPr>
          <w:rFonts w:asciiTheme="minorHAnsi" w:hAnsiTheme="minorHAnsi"/>
          <w:sz w:val="24"/>
          <w:szCs w:val="24"/>
        </w:rPr>
      </w:pPr>
      <w:r w:rsidRPr="001969FF">
        <w:rPr>
          <w:rFonts w:asciiTheme="majorHAnsi" w:eastAsiaTheme="majorEastAsia" w:hAnsiTheme="majorHAnsi" w:cstheme="majorBidi"/>
          <w:b/>
          <w:bCs/>
          <w:color w:val="365F91" w:themeColor="accent1" w:themeShade="BF"/>
          <w:sz w:val="36"/>
          <w:szCs w:val="36"/>
        </w:rPr>
        <w:t xml:space="preserve">AUDIT COMMITTEES </w:t>
      </w:r>
      <w:proofErr w:type="gramStart"/>
      <w:r w:rsidRPr="001969FF">
        <w:rPr>
          <w:rFonts w:asciiTheme="majorHAnsi" w:eastAsiaTheme="majorEastAsia" w:hAnsiTheme="majorHAnsi" w:cstheme="majorBidi"/>
          <w:b/>
          <w:bCs/>
          <w:color w:val="365F91" w:themeColor="accent1" w:themeShade="BF"/>
          <w:sz w:val="36"/>
          <w:szCs w:val="36"/>
        </w:rPr>
        <w:t>–  INCREASED</w:t>
      </w:r>
      <w:proofErr w:type="gramEnd"/>
      <w:r w:rsidRPr="001969FF">
        <w:rPr>
          <w:rFonts w:asciiTheme="majorHAnsi" w:eastAsiaTheme="majorEastAsia" w:hAnsiTheme="majorHAnsi" w:cstheme="majorBidi"/>
          <w:b/>
          <w:bCs/>
          <w:color w:val="365F91" w:themeColor="accent1" w:themeShade="BF"/>
          <w:sz w:val="36"/>
          <w:szCs w:val="36"/>
        </w:rPr>
        <w:t xml:space="preserve"> EXPECTATIONS</w:t>
      </w:r>
      <w:r w:rsidR="006807E9">
        <w:rPr>
          <w:rFonts w:asciiTheme="minorHAnsi" w:hAnsiTheme="minorHAnsi"/>
          <w:sz w:val="24"/>
          <w:szCs w:val="24"/>
        </w:rPr>
        <w:br/>
      </w:r>
      <w:r w:rsidR="000D57B6">
        <w:rPr>
          <w:rFonts w:asciiTheme="minorHAnsi" w:hAnsiTheme="minorHAnsi"/>
          <w:sz w:val="24"/>
          <w:szCs w:val="24"/>
        </w:rPr>
        <w:t>0900 – 1</w:t>
      </w:r>
      <w:r>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324A08">
      <w:pPr>
        <w:rPr>
          <w:rFonts w:asciiTheme="minorHAnsi" w:hAnsiTheme="minorHAnsi"/>
          <w:sz w:val="24"/>
          <w:szCs w:val="24"/>
        </w:rPr>
      </w:pPr>
      <w:r w:rsidRPr="00324A08">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1559"/>
        <w:gridCol w:w="284"/>
        <w:gridCol w:w="1559"/>
        <w:gridCol w:w="284"/>
        <w:gridCol w:w="1559"/>
        <w:gridCol w:w="283"/>
        <w:gridCol w:w="1559"/>
      </w:tblGrid>
      <w:tr w:rsidR="00FB169B" w:rsidRPr="00E76169" w:rsidTr="00FB169B">
        <w:tc>
          <w:tcPr>
            <w:tcW w:w="250" w:type="dxa"/>
          </w:tcPr>
          <w:p w:rsidR="00FB169B" w:rsidRPr="00E76169" w:rsidRDefault="00324A08"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bottom;mso-position-vertical-relative:margin">
                  <v:shadow on="t" offset=",3pt" offset2=",2pt"/>
                  <w10:wrap anchory="margin"/>
                </v:rect>
              </w:pict>
            </w:r>
          </w:p>
        </w:tc>
        <w:tc>
          <w:tcPr>
            <w:tcW w:w="1559" w:type="dxa"/>
          </w:tcPr>
          <w:p w:rsidR="00FB169B" w:rsidRPr="00E76169" w:rsidRDefault="001969FF" w:rsidP="00C97D66">
            <w:pPr>
              <w:rPr>
                <w:rFonts w:asciiTheme="minorHAnsi" w:hAnsiTheme="minorHAnsi"/>
                <w:sz w:val="24"/>
                <w:szCs w:val="24"/>
                <w:lang w:val="en-US"/>
              </w:rPr>
            </w:pPr>
            <w:r>
              <w:rPr>
                <w:rFonts w:asciiTheme="minorHAnsi" w:hAnsiTheme="minorHAnsi"/>
                <w:sz w:val="24"/>
                <w:szCs w:val="24"/>
                <w:lang w:val="en-US"/>
              </w:rPr>
              <w:t>17 Nov</w:t>
            </w:r>
          </w:p>
        </w:tc>
        <w:tc>
          <w:tcPr>
            <w:tcW w:w="284" w:type="dxa"/>
          </w:tcPr>
          <w:p w:rsidR="00FB169B" w:rsidRPr="00E76169" w:rsidRDefault="00324A08" w:rsidP="00D102CC">
            <w:pPr>
              <w:rPr>
                <w:rFonts w:asciiTheme="minorHAnsi" w:hAnsiTheme="minorHAnsi"/>
                <w:sz w:val="24"/>
                <w:szCs w:val="24"/>
                <w:lang w:val="en-US"/>
              </w:rPr>
            </w:pPr>
            <w:r>
              <w:rPr>
                <w:rFonts w:asciiTheme="minorHAnsi" w:hAnsiTheme="minorHAnsi"/>
                <w:noProof/>
                <w:sz w:val="24"/>
                <w:szCs w:val="24"/>
                <w:lang w:val="en-US"/>
              </w:rPr>
              <w:pict>
                <v:rect id="_x0000_s1124" style="position:absolute;margin-left:-5.35pt;margin-top:0;width:10.65pt;height:10.05pt;z-index:251740160;mso-position-horizontal-relative:text;mso-position-vertical:bottom;mso-position-vertical-relative:margin">
                  <v:shadow on="t" offset=",3pt" offset2=",2pt"/>
                  <w10:wrap anchory="margin"/>
                </v:rect>
              </w:pict>
            </w:r>
          </w:p>
        </w:tc>
        <w:tc>
          <w:tcPr>
            <w:tcW w:w="1559" w:type="dxa"/>
          </w:tcPr>
          <w:p w:rsidR="00FB169B" w:rsidRPr="00E76169" w:rsidRDefault="001969FF" w:rsidP="001969FF">
            <w:pPr>
              <w:rPr>
                <w:rFonts w:asciiTheme="minorHAnsi" w:hAnsiTheme="minorHAnsi"/>
                <w:sz w:val="24"/>
                <w:szCs w:val="24"/>
                <w:lang w:val="en-US"/>
              </w:rPr>
            </w:pPr>
            <w:r>
              <w:rPr>
                <w:rFonts w:asciiTheme="minorHAnsi" w:hAnsiTheme="minorHAnsi"/>
                <w:sz w:val="24"/>
                <w:szCs w:val="24"/>
                <w:lang w:val="en-US"/>
              </w:rPr>
              <w:t>17</w:t>
            </w:r>
            <w:r w:rsidR="00FB169B">
              <w:rPr>
                <w:rFonts w:asciiTheme="minorHAnsi" w:hAnsiTheme="minorHAnsi"/>
                <w:sz w:val="24"/>
                <w:szCs w:val="24"/>
                <w:lang w:val="en-US"/>
              </w:rPr>
              <w:t xml:space="preserve"> </w:t>
            </w:r>
            <w:r>
              <w:rPr>
                <w:rFonts w:asciiTheme="minorHAnsi" w:hAnsiTheme="minorHAnsi"/>
                <w:sz w:val="24"/>
                <w:szCs w:val="24"/>
                <w:lang w:val="en-US"/>
              </w:rPr>
              <w:t>Dec 2015</w:t>
            </w:r>
          </w:p>
        </w:tc>
        <w:tc>
          <w:tcPr>
            <w:tcW w:w="284" w:type="dxa"/>
          </w:tcPr>
          <w:p w:rsidR="00FB169B" w:rsidRPr="00E76169" w:rsidRDefault="00FB169B" w:rsidP="00D102CC">
            <w:pPr>
              <w:rPr>
                <w:rFonts w:asciiTheme="minorHAnsi" w:hAnsiTheme="minorHAnsi"/>
                <w:sz w:val="24"/>
                <w:szCs w:val="24"/>
                <w:lang w:val="en-US"/>
              </w:rPr>
            </w:pPr>
          </w:p>
        </w:tc>
        <w:tc>
          <w:tcPr>
            <w:tcW w:w="1559" w:type="dxa"/>
          </w:tcPr>
          <w:p w:rsidR="00FB169B" w:rsidRPr="00E76169" w:rsidRDefault="00FB169B" w:rsidP="00D102CC">
            <w:pPr>
              <w:rPr>
                <w:rFonts w:asciiTheme="minorHAnsi" w:hAnsiTheme="minorHAnsi"/>
                <w:sz w:val="24"/>
                <w:szCs w:val="24"/>
                <w:lang w:val="en-US"/>
              </w:rPr>
            </w:pPr>
          </w:p>
        </w:tc>
        <w:tc>
          <w:tcPr>
            <w:tcW w:w="283" w:type="dxa"/>
          </w:tcPr>
          <w:p w:rsidR="00FB169B" w:rsidRDefault="00FB169B" w:rsidP="00D102CC">
            <w:pPr>
              <w:rPr>
                <w:rFonts w:asciiTheme="minorHAnsi" w:hAnsiTheme="minorHAnsi"/>
                <w:sz w:val="24"/>
                <w:szCs w:val="24"/>
                <w:lang w:val="en-US"/>
              </w:rPr>
            </w:pPr>
          </w:p>
        </w:tc>
        <w:tc>
          <w:tcPr>
            <w:tcW w:w="155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324A08" w:rsidP="00E76169">
      <w:pPr>
        <w:rPr>
          <w:rFonts w:asciiTheme="minorHAnsi" w:hAnsiTheme="minorHAnsi"/>
          <w:sz w:val="24"/>
          <w:szCs w:val="24"/>
        </w:rPr>
      </w:pPr>
      <w:r w:rsidRPr="00324A08">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E76169" w:rsidRDefault="00E76169" w:rsidP="00E76169"/>
    <w:p w:rsidR="001969FF" w:rsidRDefault="00324A08"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1969FF" w:rsidRPr="001969FF">
        <w:rPr>
          <w:rFonts w:asciiTheme="minorHAnsi" w:hAnsiTheme="minorHAnsi"/>
          <w:noProof/>
          <w:sz w:val="24"/>
          <w:szCs w:val="24"/>
          <w:lang w:val="en-US"/>
        </w:rPr>
        <w:t>mailmarsha</w:t>
      </w:r>
      <w:r w:rsidR="00387325">
        <w:rPr>
          <w:rFonts w:asciiTheme="minorHAnsi" w:hAnsiTheme="minorHAnsi"/>
          <w:noProof/>
          <w:sz w:val="24"/>
          <w:szCs w:val="24"/>
          <w:lang w:val="en-US"/>
        </w:rPr>
        <w:t>l</w:t>
      </w:r>
      <w:r w:rsidRPr="00E94F5F">
        <w:rPr>
          <w:rFonts w:asciiTheme="minorHAnsi" w:hAnsiTheme="minorHAnsi"/>
          <w:noProof/>
          <w:sz w:val="24"/>
          <w:szCs w:val="24"/>
          <w:lang w:val="en-US"/>
        </w:rPr>
        <w:t>@bursatra.com.my</w:t>
      </w:r>
    </w:p>
    <w:p w:rsidR="00E76169" w:rsidRPr="00E76169" w:rsidRDefault="00E76169" w:rsidP="00E76169">
      <w:pPr>
        <w:jc w:val="center"/>
        <w:rPr>
          <w:rFonts w:asciiTheme="minorHAnsi" w:hAnsiTheme="minorHAnsi"/>
          <w:sz w:val="24"/>
          <w:szCs w:val="24"/>
        </w:rPr>
      </w:pPr>
    </w:p>
    <w:sectPr w:rsidR="00E76169" w:rsidRPr="00E76169"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756" w:rsidRDefault="004A1756">
      <w:r>
        <w:separator/>
      </w:r>
    </w:p>
  </w:endnote>
  <w:endnote w:type="continuationSeparator" w:id="0">
    <w:p w:rsidR="004A1756" w:rsidRDefault="004A17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00000000"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756" w:rsidRDefault="004A1756">
      <w:r>
        <w:separator/>
      </w:r>
    </w:p>
  </w:footnote>
  <w:footnote w:type="continuationSeparator" w:id="0">
    <w:p w:rsidR="004A1756" w:rsidRDefault="004A1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324A0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324A08" w:rsidP="00C24690">
    <w:pPr>
      <w:pStyle w:val="Heading5"/>
      <w:ind w:left="-810" w:hanging="90"/>
      <w:rPr>
        <w:rFonts w:ascii="Century Gothic" w:hAnsi="Century Gothic"/>
        <w:i w:val="0"/>
        <w:iCs/>
        <w:sz w:val="24"/>
        <w:szCs w:val="24"/>
      </w:rPr>
    </w:pPr>
    <w:r w:rsidRPr="00324A0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324A0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6"/>
  </w:num>
  <w:num w:numId="5">
    <w:abstractNumId w:val="1"/>
  </w:num>
  <w:num w:numId="6">
    <w:abstractNumId w:val="7"/>
  </w:num>
  <w:num w:numId="7">
    <w:abstractNumId w:val="5"/>
  </w:num>
  <w:num w:numId="8">
    <w:abstractNumId w:val="3"/>
  </w:num>
  <w:num w:numId="9">
    <w:abstractNumId w:val="2"/>
  </w:num>
  <w:num w:numId="10">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1506">
      <o:colormru v:ext="edit" colors="#eaeaea,aqua,#ffb9b9"/>
      <o:colormenu v:ext="edit" fillcolor="#ffb9b9" strokecolor="none"/>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C286F"/>
    <w:rsid w:val="002D152D"/>
    <w:rsid w:val="002D40CE"/>
    <w:rsid w:val="002D76A9"/>
    <w:rsid w:val="002E6DF0"/>
    <w:rsid w:val="002E6DF1"/>
    <w:rsid w:val="002F32AA"/>
    <w:rsid w:val="002F629E"/>
    <w:rsid w:val="002F679A"/>
    <w:rsid w:val="003215CC"/>
    <w:rsid w:val="00323457"/>
    <w:rsid w:val="00324A08"/>
    <w:rsid w:val="003300F6"/>
    <w:rsid w:val="003324DF"/>
    <w:rsid w:val="00336392"/>
    <w:rsid w:val="0034120C"/>
    <w:rsid w:val="00350723"/>
    <w:rsid w:val="0035263B"/>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075DC"/>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4168"/>
    <w:rsid w:val="00782EDD"/>
    <w:rsid w:val="00784BD4"/>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77BF"/>
    <w:rsid w:val="00A00F25"/>
    <w:rsid w:val="00A01F70"/>
    <w:rsid w:val="00A06B10"/>
    <w:rsid w:val="00A13919"/>
    <w:rsid w:val="00A2356C"/>
    <w:rsid w:val="00A26477"/>
    <w:rsid w:val="00A5263F"/>
    <w:rsid w:val="00A612A4"/>
    <w:rsid w:val="00A63428"/>
    <w:rsid w:val="00A63981"/>
    <w:rsid w:val="00A72244"/>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7053E-4A2B-479C-A2B0-70739A5C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3461</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keywords/>
  <cp:lastModifiedBy>Azlan</cp:lastModifiedBy>
  <cp:revision>6</cp:revision>
  <cp:lastPrinted>2015-07-06T11:13:00Z</cp:lastPrinted>
  <dcterms:created xsi:type="dcterms:W3CDTF">2015-10-21T13:51:00Z</dcterms:created>
  <dcterms:modified xsi:type="dcterms:W3CDTF">2015-10-21T16:57:00Z</dcterms:modified>
  <cp:category>CGBP</cp:category>
</cp:coreProperties>
</file>